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50" w:rsidRDefault="00536150" w:rsidP="00536150">
      <w:pPr>
        <w:jc w:val="center"/>
        <w:rPr>
          <w:b/>
        </w:rPr>
      </w:pPr>
      <w:r>
        <w:rPr>
          <w:b/>
        </w:rPr>
        <w:t>2010/6 SAYILI TEBLİĞ’E İLİŞKİN UYGULAMA USUL VE ESASLARI GENELGESİ’NDE YAPILAN DEĞİŞİKLİKLER</w:t>
      </w:r>
    </w:p>
    <w:p w:rsidR="00536150" w:rsidRDefault="00536150" w:rsidP="00536150"/>
    <w:tbl>
      <w:tblPr>
        <w:tblW w:w="153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5"/>
        <w:gridCol w:w="5105"/>
        <w:gridCol w:w="5105"/>
      </w:tblGrid>
      <w:tr w:rsidR="00536150" w:rsidTr="00536150">
        <w:tc>
          <w:tcPr>
            <w:tcW w:w="5104" w:type="dxa"/>
            <w:tcBorders>
              <w:top w:val="single" w:sz="4" w:space="0" w:color="auto"/>
              <w:left w:val="single" w:sz="4" w:space="0" w:color="auto"/>
              <w:bottom w:val="single" w:sz="4" w:space="0" w:color="auto"/>
              <w:right w:val="single" w:sz="4" w:space="0" w:color="auto"/>
            </w:tcBorders>
            <w:hideMark/>
          </w:tcPr>
          <w:p w:rsidR="00536150" w:rsidRDefault="00536150">
            <w:pPr>
              <w:jc w:val="center"/>
              <w:rPr>
                <w:b/>
              </w:rPr>
            </w:pPr>
            <w:r>
              <w:rPr>
                <w:b/>
              </w:rPr>
              <w:t>ESKİ MADDE</w:t>
            </w:r>
          </w:p>
        </w:tc>
        <w:tc>
          <w:tcPr>
            <w:tcW w:w="5103" w:type="dxa"/>
            <w:tcBorders>
              <w:top w:val="single" w:sz="4" w:space="0" w:color="auto"/>
              <w:left w:val="single" w:sz="4" w:space="0" w:color="auto"/>
              <w:bottom w:val="single" w:sz="4" w:space="0" w:color="auto"/>
              <w:right w:val="single" w:sz="4" w:space="0" w:color="auto"/>
            </w:tcBorders>
            <w:hideMark/>
          </w:tcPr>
          <w:p w:rsidR="00536150" w:rsidRDefault="00536150">
            <w:pPr>
              <w:jc w:val="center"/>
              <w:rPr>
                <w:b/>
              </w:rPr>
            </w:pPr>
            <w:r>
              <w:rPr>
                <w:b/>
              </w:rPr>
              <w:t>YENİ MADDE</w:t>
            </w:r>
          </w:p>
        </w:tc>
        <w:tc>
          <w:tcPr>
            <w:tcW w:w="5103" w:type="dxa"/>
            <w:tcBorders>
              <w:top w:val="single" w:sz="4" w:space="0" w:color="auto"/>
              <w:left w:val="single" w:sz="4" w:space="0" w:color="auto"/>
              <w:bottom w:val="single" w:sz="4" w:space="0" w:color="auto"/>
              <w:right w:val="single" w:sz="4" w:space="0" w:color="auto"/>
            </w:tcBorders>
            <w:hideMark/>
          </w:tcPr>
          <w:p w:rsidR="00536150" w:rsidRDefault="00536150">
            <w:pPr>
              <w:jc w:val="center"/>
              <w:rPr>
                <w:b/>
              </w:rPr>
            </w:pPr>
            <w:r>
              <w:rPr>
                <w:b/>
              </w:rPr>
              <w:t>GEREKÇE</w:t>
            </w:r>
          </w:p>
        </w:tc>
      </w:tr>
      <w:tr w:rsidR="00536150" w:rsidTr="00536150">
        <w:trPr>
          <w:trHeight w:val="2708"/>
        </w:trPr>
        <w:tc>
          <w:tcPr>
            <w:tcW w:w="5104" w:type="dxa"/>
            <w:tcBorders>
              <w:top w:val="single" w:sz="4" w:space="0" w:color="auto"/>
              <w:left w:val="single" w:sz="4" w:space="0" w:color="auto"/>
              <w:bottom w:val="single" w:sz="4" w:space="0" w:color="auto"/>
              <w:right w:val="single" w:sz="4" w:space="0" w:color="auto"/>
            </w:tcBorders>
          </w:tcPr>
          <w:p w:rsidR="00536150" w:rsidRDefault="00536150">
            <w:pPr>
              <w:spacing w:after="120"/>
              <w:jc w:val="both"/>
            </w:pPr>
            <w:proofErr w:type="gramStart"/>
            <w:r>
              <w:rPr>
                <w:b/>
              </w:rPr>
              <w:t>MADDE 23-</w:t>
            </w:r>
            <w:r>
              <w:t xml:space="preserve"> (3)  Destek kapsamındaki şirketlerin yurtiçi veya yurtdışı ortaklık yapıları ile İşbirliği Kuruluşlarının yurtdışında kurduğu şirketin veya işletici şirketin ortaklık yapılarının destek oranının </w:t>
            </w:r>
            <w:r>
              <w:rPr>
                <w:strike/>
              </w:rPr>
              <w:t>değişmesini</w:t>
            </w:r>
            <w:r>
              <w:t xml:space="preserve"> ya da desteğin sonra ermesini gerektirecek şekilde değişmesi halinde değişiklik tarihinden itibaren 3 (üç) ay içerisinde şirketlerin üyesi oldukları </w:t>
            </w:r>
            <w:proofErr w:type="spellStart"/>
            <w:r>
              <w:t>İBGS’ye</w:t>
            </w:r>
            <w:proofErr w:type="spellEnd"/>
            <w:r>
              <w:t xml:space="preserve">, İşbirliği Kuruluşlarının ise Bakanlığa bildirim yapmaları gerekir. </w:t>
            </w:r>
            <w:proofErr w:type="gramEnd"/>
            <w:r>
              <w:t>Belirtilen şekilde ortaklık yapısı değiştiği ve 3 (üç) ay içerisinde bildirimde bulunmadığı tespit edilen şirketler/İşbirliği Kuruluşları destek kapsamından çıkarılır ve bekleyen başvuru dosyaları destek kapsamında değerlendirilmez.</w:t>
            </w:r>
          </w:p>
          <w:p w:rsidR="00536150" w:rsidRDefault="00536150">
            <w:pPr>
              <w:pStyle w:val="NormalWeb"/>
              <w:spacing w:before="0" w:after="0"/>
              <w:jc w:val="both"/>
              <w:rPr>
                <w:rFonts w:ascii="Times New Roman" w:hAnsi="Times New Roman" w:cs="Times New Roman"/>
                <w:color w:val="000000"/>
                <w:lang w:val="tr-TR"/>
              </w:rPr>
            </w:pPr>
          </w:p>
        </w:tc>
        <w:tc>
          <w:tcPr>
            <w:tcW w:w="5103" w:type="dxa"/>
            <w:tcBorders>
              <w:top w:val="single" w:sz="4" w:space="0" w:color="auto"/>
              <w:left w:val="single" w:sz="4" w:space="0" w:color="auto"/>
              <w:bottom w:val="single" w:sz="4" w:space="0" w:color="auto"/>
              <w:right w:val="single" w:sz="4" w:space="0" w:color="auto"/>
            </w:tcBorders>
            <w:hideMark/>
          </w:tcPr>
          <w:p w:rsidR="00536150" w:rsidRDefault="00536150">
            <w:pPr>
              <w:jc w:val="both"/>
              <w:rPr>
                <w:color w:val="000000"/>
              </w:rPr>
            </w:pPr>
            <w:r>
              <w:rPr>
                <w:b/>
              </w:rPr>
              <w:t xml:space="preserve">MADDE 23- </w:t>
            </w:r>
            <w:r>
              <w:t xml:space="preserve">(3)  Destek kapsamındaki şirketlerin yurtiçi veya yurtdışı ortaklık yapıları ile İşbirliği Kuruluşlarının yurtdışında kurduğu </w:t>
            </w:r>
            <w:proofErr w:type="gramStart"/>
            <w:r>
              <w:t>şirketin,</w:t>
            </w:r>
            <w:proofErr w:type="gramEnd"/>
            <w:r>
              <w:t xml:space="preserve"> veya işletici şirketin ortaklık yapılarının destek oranının </w:t>
            </w:r>
            <w:r>
              <w:rPr>
                <w:b/>
              </w:rPr>
              <w:t>azalmasını</w:t>
            </w:r>
            <w:r>
              <w:t xml:space="preserve"> ya da desteğin sonra ermesini gerektirecek şekilde değişmesi halinde değişiklik tarihinden itibaren 3 (üç) ay içerisinde şirketlerin üyesi oldukları </w:t>
            </w:r>
            <w:proofErr w:type="spellStart"/>
            <w:r>
              <w:t>İBGS’ye</w:t>
            </w:r>
            <w:proofErr w:type="spellEnd"/>
            <w:r>
              <w:t>, İşbirliği Kuruluşlarının ise Bakanlığa bildirim yapmaları gerekir. Belirtilen şekilde ortaklık yapısı değiştiği ve 3 (üç) ay içerisinde bildirimde bulunmadığı tespit edilen şirketler/İşbirliği Kuruluşları destek kapsamından çıkarılır ve bekleyen başvuru dosyaları destek kapsamında değerlendirilmez.</w:t>
            </w:r>
          </w:p>
        </w:tc>
        <w:tc>
          <w:tcPr>
            <w:tcW w:w="5103" w:type="dxa"/>
            <w:tcBorders>
              <w:top w:val="single" w:sz="4" w:space="0" w:color="auto"/>
              <w:left w:val="single" w:sz="4" w:space="0" w:color="auto"/>
              <w:bottom w:val="single" w:sz="4" w:space="0" w:color="auto"/>
              <w:right w:val="single" w:sz="4" w:space="0" w:color="auto"/>
            </w:tcBorders>
            <w:hideMark/>
          </w:tcPr>
          <w:p w:rsidR="00536150" w:rsidRDefault="00536150">
            <w:pPr>
              <w:jc w:val="both"/>
              <w:rPr>
                <w:color w:val="000000"/>
              </w:rPr>
            </w:pPr>
            <w:r>
              <w:t>2010/6 sayılı Tebliğ’in 5 inci maddesinin dördüncü fıkrasına göre şirketlere yapılan destek ödemesi yurt dışı ortaklık oranına göre hesaplanmaktadır. Ortaklık yapısı değişerek destek oranı artacak firmaların bildirim yapmayı ihmal etmesi durumunda destek kapsamından çıkarılmaması gerektiği değerlendirilmektedir. Ancak, destek oranı azalacak ya da sona erecek şekilde ortaklık oranı değişimlerinin bildirilmemesi halinde bu şirketlerin destek kapsamından çıkarılması yönünde düzenleme yapılmıştır.</w:t>
            </w:r>
          </w:p>
        </w:tc>
      </w:tr>
      <w:tr w:rsidR="00536150" w:rsidTr="00536150">
        <w:tc>
          <w:tcPr>
            <w:tcW w:w="5104" w:type="dxa"/>
            <w:tcBorders>
              <w:top w:val="single" w:sz="4" w:space="0" w:color="auto"/>
              <w:left w:val="single" w:sz="4" w:space="0" w:color="auto"/>
              <w:bottom w:val="single" w:sz="4" w:space="0" w:color="auto"/>
              <w:right w:val="single" w:sz="4" w:space="0" w:color="auto"/>
            </w:tcBorders>
          </w:tcPr>
          <w:p w:rsidR="00536150" w:rsidRDefault="00536150">
            <w:pPr>
              <w:spacing w:after="120"/>
              <w:jc w:val="both"/>
              <w:rPr>
                <w:b/>
              </w:rPr>
            </w:pPr>
          </w:p>
        </w:tc>
        <w:tc>
          <w:tcPr>
            <w:tcW w:w="5103" w:type="dxa"/>
            <w:tcBorders>
              <w:top w:val="single" w:sz="4" w:space="0" w:color="auto"/>
              <w:left w:val="single" w:sz="4" w:space="0" w:color="auto"/>
              <w:bottom w:val="single" w:sz="4" w:space="0" w:color="auto"/>
              <w:right w:val="single" w:sz="4" w:space="0" w:color="auto"/>
            </w:tcBorders>
          </w:tcPr>
          <w:p w:rsidR="00536150" w:rsidRDefault="00536150">
            <w:pPr>
              <w:jc w:val="both"/>
              <w:rPr>
                <w:b/>
              </w:rPr>
            </w:pPr>
            <w:r>
              <w:rPr>
                <w:b/>
              </w:rPr>
              <w:t xml:space="preserve">MADDE 24/A - (1) Ödeme belgesi tarihinden itibaren en geç altı ay içerisinde müracaatta bulunmak kaydıyla,  eksik bilgi ve belgelerin tamamlanmasını </w:t>
            </w:r>
            <w:proofErr w:type="spellStart"/>
            <w:r>
              <w:rPr>
                <w:b/>
              </w:rPr>
              <w:t>teminen</w:t>
            </w:r>
            <w:proofErr w:type="spellEnd"/>
            <w:r>
              <w:rPr>
                <w:b/>
              </w:rPr>
              <w:t xml:space="preserve"> ilgili İBGS/Bakanlık incelemesinin ardından şirkete/İşbirliği Kuruluşuna kayıtlı elektronik posta adreslerine bildirim yapmak suretiyle 3 ay içerisinde eksikliklerin tamamlanması istenir. Elektronik yolla tebligat, şirketin/İşbirliği Kuruluşunun elektronik adresine ulaştığı tarihi izleyen beşinci günün sonunda yapılmış sayılır. 7201 sayılı Tebligat Kanunu ve ilgili mevzuat çerçevesinde elektronik yolla tebligat yapılması mecbur kılınan bütün şirketlerin/İşbirliği </w:t>
            </w:r>
            <w:r>
              <w:rPr>
                <w:b/>
              </w:rPr>
              <w:lastRenderedPageBreak/>
              <w:t xml:space="preserve">Kuruluşlarının, 2010/6 sayılı Tebliğ kapsamındaki desteklerden faydalanmaları için, 31.12.2015 tarihinden sonra, kayıtlı elektronik posta (KEP) adreslerini bu Genelgenin ekinde yer alan taahhütnameyi (Ek 11) vermek suretiyle </w:t>
            </w:r>
            <w:proofErr w:type="spellStart"/>
            <w:r>
              <w:rPr>
                <w:b/>
              </w:rPr>
              <w:t>İBGS’ye</w:t>
            </w:r>
            <w:proofErr w:type="spellEnd"/>
            <w:r>
              <w:rPr>
                <w:b/>
              </w:rPr>
              <w:t xml:space="preserve">/Bakanlığa </w:t>
            </w:r>
            <w:proofErr w:type="gramStart"/>
            <w:r>
              <w:rPr>
                <w:b/>
              </w:rPr>
              <w:t>bildirmeleri  ve</w:t>
            </w:r>
            <w:proofErr w:type="gramEnd"/>
            <w:r>
              <w:rPr>
                <w:b/>
              </w:rPr>
              <w:t xml:space="preserve"> eksiklik bildirimlerinin bu adrese yapılması zorunludur. 31.12.2015 tarihinden sonra bu yükümlülüğü altı aylık müracaat süresi içerisinde yerine getirmeyen şirketlerin/İşbirliği Kuruluşlarının dosyası işlemden kaldırılır.  </w:t>
            </w:r>
          </w:p>
          <w:p w:rsidR="00536150" w:rsidRDefault="00536150">
            <w:pPr>
              <w:jc w:val="both"/>
              <w:rPr>
                <w:b/>
              </w:rPr>
            </w:pPr>
          </w:p>
          <w:p w:rsidR="00536150" w:rsidRDefault="00536150">
            <w:pPr>
              <w:jc w:val="both"/>
              <w:rPr>
                <w:b/>
              </w:rPr>
            </w:pPr>
            <w:r>
              <w:rPr>
                <w:b/>
              </w:rPr>
              <w:t xml:space="preserve">(2) 31.12.2015 tarihine kadar (bu tarih </w:t>
            </w:r>
            <w:proofErr w:type="gramStart"/>
            <w:r>
              <w:rPr>
                <w:b/>
              </w:rPr>
              <w:t>dahil</w:t>
            </w:r>
            <w:proofErr w:type="gramEnd"/>
            <w:r>
              <w:rPr>
                <w:b/>
              </w:rPr>
              <w:t xml:space="preserve">)  kayıtlı elektronik posta adresi ibraz edemeyen şirkete/İşbirliği Kuruluşuna yapılacak tebligatlar İBGS/Bakanlık kayıtlarındaki adreslere iadeli-taahhütlü mektup gönderilmek suretiyle yapılabilir. Posta ile bildirimin herhangi bir sebeple geri dönmesi durumunda 3 aylık eksik tamamlama süresi postanın geri gelme tarihinde başlatılır. İBGS/Bakanlık kayıtlarındaki adreslerinin güncel halde tutulması şirketin/İşbirliği Kuruluşunun yükümlülüğündedir. </w:t>
            </w:r>
          </w:p>
          <w:p w:rsidR="00536150" w:rsidRDefault="00536150">
            <w:pPr>
              <w:jc w:val="both"/>
              <w:rPr>
                <w:b/>
              </w:rPr>
            </w:pPr>
          </w:p>
          <w:p w:rsidR="00536150" w:rsidRDefault="00536150">
            <w:pPr>
              <w:jc w:val="both"/>
              <w:rPr>
                <w:b/>
              </w:rPr>
            </w:pPr>
            <w:r>
              <w:rPr>
                <w:b/>
              </w:rPr>
              <w:t xml:space="preserve">(3) 7201 sayılı Tebligat Kanunu ve ilgili mevzuat çerçevesinde elektronik yolla tebligat yapılması zorunlu olmayan şirkete/İşbirliği Kuruluşuna yapılacak </w:t>
            </w:r>
            <w:proofErr w:type="gramStart"/>
            <w:r>
              <w:rPr>
                <w:b/>
              </w:rPr>
              <w:t>tebligatlar  İBGS</w:t>
            </w:r>
            <w:proofErr w:type="gramEnd"/>
            <w:r>
              <w:rPr>
                <w:b/>
              </w:rPr>
              <w:t xml:space="preserve">/Bakanlık kayıtlarındaki adreslere iadeli-taahhütlü mektup gönderilmek suretiyle </w:t>
            </w:r>
            <w:r>
              <w:rPr>
                <w:b/>
              </w:rPr>
              <w:lastRenderedPageBreak/>
              <w:t xml:space="preserve">yapılır. Posta ile bildirimin herhangi bir sebeple geri dönmesi durumunda 3 aylık eksik tamamlama süresi postanın geri gelme tarihinde başlatılır. İBGS/Bakanlık kayıtlarındaki adreslerinin güncel halde tutulması şirketin/İşbirliği Kuruluşunun yükümlülüğündedir. </w:t>
            </w:r>
          </w:p>
          <w:p w:rsidR="00536150" w:rsidRDefault="00536150">
            <w:pPr>
              <w:jc w:val="both"/>
              <w:rPr>
                <w:b/>
              </w:rPr>
            </w:pPr>
          </w:p>
          <w:p w:rsidR="00536150" w:rsidRDefault="00536150">
            <w:pPr>
              <w:jc w:val="both"/>
            </w:pPr>
            <w:r>
              <w:rPr>
                <w:b/>
              </w:rPr>
              <w:t>(4) Bu fıkra kapsamında yapılacak tebligat neticesinde eksikliklerin tamamlanmaması durumunda başvuru dosyası işlemden kaldırılır.</w:t>
            </w:r>
          </w:p>
        </w:tc>
        <w:tc>
          <w:tcPr>
            <w:tcW w:w="5103" w:type="dxa"/>
            <w:tcBorders>
              <w:top w:val="single" w:sz="4" w:space="0" w:color="auto"/>
              <w:left w:val="single" w:sz="4" w:space="0" w:color="auto"/>
              <w:bottom w:val="single" w:sz="4" w:space="0" w:color="auto"/>
              <w:right w:val="single" w:sz="4" w:space="0" w:color="auto"/>
            </w:tcBorders>
            <w:hideMark/>
          </w:tcPr>
          <w:p w:rsidR="00536150" w:rsidRDefault="00536150">
            <w:pPr>
              <w:jc w:val="both"/>
            </w:pPr>
            <w:r>
              <w:lastRenderedPageBreak/>
              <w:t xml:space="preserve">2010/6 sayılı Tebliğ'in 24 üncü maddesinde eksik belge tamamlama süresinin Bakanlık veya İBGS evrak-çıkış tarihiyle başlayacağı belirtilmiştir. Söz konusu maddeden sonra gelmek üzere İlave edilen 24/A maddesi </w:t>
            </w:r>
            <w:proofErr w:type="gramStart"/>
            <w:r>
              <w:t>ile  E</w:t>
            </w:r>
            <w:proofErr w:type="gramEnd"/>
            <w:r>
              <w:t xml:space="preserve">-posta ile eksiklik </w:t>
            </w:r>
            <w:proofErr w:type="spellStart"/>
            <w:r>
              <w:t>birdirimi</w:t>
            </w:r>
            <w:proofErr w:type="spellEnd"/>
            <w:r>
              <w:t xml:space="preserve"> yapılacağı düzenlenmiştir.</w:t>
            </w:r>
          </w:p>
        </w:tc>
      </w:tr>
      <w:tr w:rsidR="00536150" w:rsidTr="00536150">
        <w:tc>
          <w:tcPr>
            <w:tcW w:w="5104" w:type="dxa"/>
            <w:tcBorders>
              <w:top w:val="single" w:sz="4" w:space="0" w:color="auto"/>
              <w:left w:val="single" w:sz="4" w:space="0" w:color="auto"/>
              <w:bottom w:val="single" w:sz="4" w:space="0" w:color="auto"/>
              <w:right w:val="single" w:sz="4" w:space="0" w:color="auto"/>
            </w:tcBorders>
          </w:tcPr>
          <w:p w:rsidR="00536150" w:rsidRDefault="00536150">
            <w:pPr>
              <w:jc w:val="both"/>
              <w:rPr>
                <w:color w:val="000000"/>
              </w:rPr>
            </w:pPr>
            <w:r>
              <w:rPr>
                <w:b/>
              </w:rPr>
              <w:lastRenderedPageBreak/>
              <w:t>MADDE 26-</w:t>
            </w:r>
            <w:r>
              <w:t xml:space="preserve"> (5) Şirketlerin kira ve tanıtım faaliyetlerine ilişkin </w:t>
            </w:r>
            <w:r>
              <w:rPr>
                <w:strike/>
              </w:rPr>
              <w:t>destek başvurularının olumlu değerlendirilmesi için</w:t>
            </w:r>
            <w:r>
              <w:t xml:space="preserve"> Türkiye’den söz konusu ülkeye yapılan yıllık ihracatının</w:t>
            </w:r>
            <w:r>
              <w:rPr>
                <w:strike/>
              </w:rPr>
              <w:t xml:space="preserve"> yıllık verilecek destek miktarının iki katından az olmaması ve/veya ilgili ülkeden Türkiye’ye ithalatı olmaması gerekmektedir.</w:t>
            </w:r>
            <w:r>
              <w:t xml:space="preserve"> Bu hüküm ilk destek yılı için uygulanmaz.</w:t>
            </w:r>
          </w:p>
          <w:p w:rsidR="00536150" w:rsidRDefault="00536150">
            <w:pPr>
              <w:spacing w:after="120"/>
              <w:jc w:val="both"/>
              <w:rPr>
                <w:b/>
              </w:rPr>
            </w:pPr>
          </w:p>
        </w:tc>
        <w:tc>
          <w:tcPr>
            <w:tcW w:w="5103" w:type="dxa"/>
            <w:tcBorders>
              <w:top w:val="single" w:sz="4" w:space="0" w:color="auto"/>
              <w:left w:val="single" w:sz="4" w:space="0" w:color="auto"/>
              <w:bottom w:val="single" w:sz="4" w:space="0" w:color="auto"/>
              <w:right w:val="single" w:sz="4" w:space="0" w:color="auto"/>
            </w:tcBorders>
          </w:tcPr>
          <w:p w:rsidR="00536150" w:rsidRDefault="00536150">
            <w:pPr>
              <w:jc w:val="both"/>
              <w:rPr>
                <w:color w:val="000000"/>
              </w:rPr>
            </w:pPr>
            <w:r>
              <w:rPr>
                <w:b/>
              </w:rPr>
              <w:t>MADDE 26-</w:t>
            </w:r>
            <w:r>
              <w:t xml:space="preserve"> (5) Şirketlere kira ve tanıtım faaliyetlerine ilişkin </w:t>
            </w:r>
            <w:r>
              <w:rPr>
                <w:b/>
              </w:rPr>
              <w:t>verilecek yıllık destek tutarı</w:t>
            </w:r>
            <w:r>
              <w:t xml:space="preserve">, Türkiye’den söz konusu ülkeye yapılan yıllık ihracatının </w:t>
            </w:r>
            <w:r>
              <w:rPr>
                <w:b/>
              </w:rPr>
              <w:t>(destek başvuru dönemiyle aynı takvim yılına ait) yarısından fazla olamaz.</w:t>
            </w:r>
            <w:r>
              <w:t xml:space="preserve"> Bu hüküm ilk destek yılı için uygulanmaz.</w:t>
            </w:r>
          </w:p>
          <w:p w:rsidR="00536150" w:rsidRDefault="00536150">
            <w:pPr>
              <w:jc w:val="both"/>
              <w:rPr>
                <w:b/>
              </w:rPr>
            </w:pPr>
          </w:p>
        </w:tc>
        <w:tc>
          <w:tcPr>
            <w:tcW w:w="5103" w:type="dxa"/>
            <w:tcBorders>
              <w:top w:val="single" w:sz="4" w:space="0" w:color="auto"/>
              <w:left w:val="single" w:sz="4" w:space="0" w:color="auto"/>
              <w:bottom w:val="single" w:sz="4" w:space="0" w:color="auto"/>
              <w:right w:val="single" w:sz="4" w:space="0" w:color="auto"/>
            </w:tcBorders>
            <w:hideMark/>
          </w:tcPr>
          <w:p w:rsidR="00536150" w:rsidRDefault="00536150">
            <w:pPr>
              <w:jc w:val="both"/>
            </w:pPr>
            <w:r>
              <w:t xml:space="preserve">Genelgenin 26 </w:t>
            </w:r>
            <w:proofErr w:type="spellStart"/>
            <w:r>
              <w:t>ncı</w:t>
            </w:r>
            <w:proofErr w:type="spellEnd"/>
            <w:r>
              <w:t xml:space="preserve"> maddesinin 4 üncü fıkrası “Destek talebine konu yurtdışı birimin Türkiye’ye ithalata yönelik faaliyetlerde de kullanılması halinde bu birime ilişkin giderler desteklenmez.” hükmünü amir olduğundan beşinci fıkradaki ithalata ilişkin ifade kaldırılmıştır. Ayrıca, İhracat performansı değerlendirilirken; destek yılını kapsayan yıldaki ihracat tutarının dikkate alınacağı ve destek tutarının şirketin ihracat tutarının yarısından fazla olamayacağı da vurgulanarak, söz konusu hüküm yeniden düzenlenmiştir.</w:t>
            </w:r>
          </w:p>
        </w:tc>
      </w:tr>
    </w:tbl>
    <w:p w:rsidR="00536150" w:rsidRDefault="00536150" w:rsidP="00536150"/>
    <w:p w:rsidR="00536150" w:rsidRDefault="00536150" w:rsidP="00536150"/>
    <w:p w:rsidR="001119C9" w:rsidRDefault="001119C9"/>
    <w:sectPr w:rsidR="001119C9" w:rsidSect="00536150">
      <w:footerReference w:type="default" r:id="rId6"/>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F8" w:rsidRDefault="002D1DF8" w:rsidP="00F434C8">
      <w:r>
        <w:separator/>
      </w:r>
    </w:p>
  </w:endnote>
  <w:endnote w:type="continuationSeparator" w:id="0">
    <w:p w:rsidR="002D1DF8" w:rsidRDefault="002D1DF8" w:rsidP="00F43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4282"/>
      <w:docPartObj>
        <w:docPartGallery w:val="Page Numbers (Bottom of Page)"/>
        <w:docPartUnique/>
      </w:docPartObj>
    </w:sdtPr>
    <w:sdtContent>
      <w:p w:rsidR="00F434C8" w:rsidRDefault="00F434C8">
        <w:pPr>
          <w:pStyle w:val="Altbilgi"/>
          <w:jc w:val="right"/>
        </w:pPr>
        <w:fldSimple w:instr=" PAGE   \* MERGEFORMAT ">
          <w:r>
            <w:rPr>
              <w:noProof/>
            </w:rPr>
            <w:t>2</w:t>
          </w:r>
        </w:fldSimple>
      </w:p>
    </w:sdtContent>
  </w:sdt>
  <w:p w:rsidR="00F434C8" w:rsidRDefault="00F434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F8" w:rsidRDefault="002D1DF8" w:rsidP="00F434C8">
      <w:r>
        <w:separator/>
      </w:r>
    </w:p>
  </w:footnote>
  <w:footnote w:type="continuationSeparator" w:id="0">
    <w:p w:rsidR="002D1DF8" w:rsidRDefault="002D1DF8" w:rsidP="00F434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6150"/>
    <w:rsid w:val="00097C49"/>
    <w:rsid w:val="001119C9"/>
    <w:rsid w:val="00231496"/>
    <w:rsid w:val="002D1DF8"/>
    <w:rsid w:val="00416006"/>
    <w:rsid w:val="00466150"/>
    <w:rsid w:val="00536150"/>
    <w:rsid w:val="005C3C8D"/>
    <w:rsid w:val="005F6669"/>
    <w:rsid w:val="006C5D5B"/>
    <w:rsid w:val="006E369B"/>
    <w:rsid w:val="007119E0"/>
    <w:rsid w:val="00785780"/>
    <w:rsid w:val="007C0EA2"/>
    <w:rsid w:val="00951216"/>
    <w:rsid w:val="00A85602"/>
    <w:rsid w:val="00AC3DD2"/>
    <w:rsid w:val="00BD7C20"/>
    <w:rsid w:val="00C6663C"/>
    <w:rsid w:val="00D473E1"/>
    <w:rsid w:val="00D63196"/>
    <w:rsid w:val="00DA6504"/>
    <w:rsid w:val="00DE07B5"/>
    <w:rsid w:val="00E841AF"/>
    <w:rsid w:val="00F434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536150"/>
    <w:pPr>
      <w:suppressAutoHyphens/>
      <w:spacing w:before="280" w:after="280"/>
    </w:pPr>
    <w:rPr>
      <w:rFonts w:ascii="Arial Unicode MS" w:eastAsia="Arial Unicode MS" w:hAnsi="Arial Unicode MS" w:cs="Arial Unicode MS"/>
      <w:lang w:val="en-US" w:eastAsia="ar-SA"/>
    </w:rPr>
  </w:style>
  <w:style w:type="paragraph" w:styleId="stbilgi">
    <w:name w:val="header"/>
    <w:basedOn w:val="Normal"/>
    <w:link w:val="stbilgiChar"/>
    <w:uiPriority w:val="99"/>
    <w:semiHidden/>
    <w:unhideWhenUsed/>
    <w:rsid w:val="00F434C8"/>
    <w:pPr>
      <w:tabs>
        <w:tab w:val="center" w:pos="4536"/>
        <w:tab w:val="right" w:pos="9072"/>
      </w:tabs>
    </w:pPr>
  </w:style>
  <w:style w:type="character" w:customStyle="1" w:styleId="stbilgiChar">
    <w:name w:val="Üstbilgi Char"/>
    <w:basedOn w:val="VarsaylanParagrafYazTipi"/>
    <w:link w:val="stbilgi"/>
    <w:uiPriority w:val="99"/>
    <w:semiHidden/>
    <w:rsid w:val="00F434C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434C8"/>
    <w:pPr>
      <w:tabs>
        <w:tab w:val="center" w:pos="4536"/>
        <w:tab w:val="right" w:pos="9072"/>
      </w:tabs>
    </w:pPr>
  </w:style>
  <w:style w:type="character" w:customStyle="1" w:styleId="AltbilgiChar">
    <w:name w:val="Altbilgi Char"/>
    <w:basedOn w:val="VarsaylanParagrafYazTipi"/>
    <w:link w:val="Altbilgi"/>
    <w:uiPriority w:val="99"/>
    <w:rsid w:val="00F434C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740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hokur</dc:creator>
  <cp:keywords/>
  <dc:description/>
  <cp:lastModifiedBy>hokur</cp:lastModifiedBy>
  <cp:revision>2</cp:revision>
  <dcterms:created xsi:type="dcterms:W3CDTF">2015-06-30T11:23:00Z</dcterms:created>
  <dcterms:modified xsi:type="dcterms:W3CDTF">2015-06-30T11:25:00Z</dcterms:modified>
</cp:coreProperties>
</file>